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DA7" w:rsidRPr="005B07F3" w:rsidRDefault="004C1DA7" w:rsidP="00FC58D6">
      <w:pPr>
        <w:rPr>
          <w:rFonts w:ascii="Times New Roman" w:hAnsi="Times New Roman"/>
          <w:sz w:val="24"/>
          <w:szCs w:val="24"/>
          <w:lang w:val="en-US"/>
        </w:rPr>
      </w:pPr>
      <w:r w:rsidRPr="005B07F3">
        <w:rPr>
          <w:rFonts w:ascii="Times New Roman" w:hAnsi="Times New Roman"/>
          <w:sz w:val="24"/>
          <w:szCs w:val="24"/>
          <w:lang w:val="en-US"/>
        </w:rPr>
        <w:t>Sensors and Actuators B: Chemical</w:t>
      </w:r>
    </w:p>
    <w:p w:rsidR="004C1DA7" w:rsidRPr="00583E14" w:rsidRDefault="004C1DA7" w:rsidP="00583E14">
      <w:pPr>
        <w:spacing w:line="360" w:lineRule="auto"/>
        <w:rPr>
          <w:rFonts w:ascii="Times New Roman" w:hAnsi="Times New Roman"/>
          <w:b/>
          <w:sz w:val="28"/>
          <w:szCs w:val="28"/>
          <w:lang w:val="en-US"/>
        </w:rPr>
      </w:pPr>
      <w:r w:rsidRPr="00583E14">
        <w:rPr>
          <w:rFonts w:ascii="Times New Roman" w:hAnsi="Times New Roman"/>
          <w:b/>
          <w:sz w:val="28"/>
          <w:szCs w:val="28"/>
          <w:lang w:val="en-US"/>
        </w:rPr>
        <w:t xml:space="preserve">A </w:t>
      </w:r>
      <w:r>
        <w:rPr>
          <w:rFonts w:ascii="Times New Roman" w:hAnsi="Times New Roman"/>
          <w:b/>
          <w:sz w:val="28"/>
          <w:szCs w:val="28"/>
          <w:lang w:val="en-US"/>
        </w:rPr>
        <w:t>versatile</w:t>
      </w:r>
      <w:r w:rsidRPr="00583E14">
        <w:rPr>
          <w:rFonts w:ascii="Times New Roman" w:hAnsi="Times New Roman"/>
          <w:b/>
          <w:sz w:val="28"/>
          <w:szCs w:val="28"/>
          <w:lang w:val="en-US"/>
        </w:rPr>
        <w:t xml:space="preserve"> lab-on-a-chip tool for modeling biological barriers</w:t>
      </w:r>
    </w:p>
    <w:p w:rsidR="004C1DA7" w:rsidRPr="00583E14" w:rsidRDefault="004C1DA7" w:rsidP="00583E14">
      <w:pPr>
        <w:spacing w:line="360" w:lineRule="auto"/>
        <w:rPr>
          <w:rFonts w:ascii="Times New Roman" w:hAnsi="Times New Roman"/>
          <w:sz w:val="24"/>
          <w:szCs w:val="24"/>
          <w:lang w:val="en-US"/>
        </w:rPr>
      </w:pPr>
      <w:r w:rsidRPr="00583E14">
        <w:rPr>
          <w:rFonts w:ascii="Times New Roman" w:hAnsi="Times New Roman"/>
          <w:sz w:val="24"/>
          <w:szCs w:val="24"/>
          <w:lang w:val="en-US"/>
        </w:rPr>
        <w:t>Fruzsina R. Walter</w:t>
      </w:r>
      <w:r w:rsidRPr="00E37ED4">
        <w:rPr>
          <w:rFonts w:ascii="Times New Roman" w:hAnsi="Times New Roman"/>
          <w:sz w:val="24"/>
          <w:szCs w:val="24"/>
          <w:vertAlign w:val="superscript"/>
          <w:lang w:val="en-US"/>
        </w:rPr>
        <w:t>#</w:t>
      </w:r>
      <w:r w:rsidRPr="00583E14">
        <w:rPr>
          <w:rFonts w:ascii="Times New Roman" w:hAnsi="Times New Roman"/>
          <w:sz w:val="24"/>
          <w:szCs w:val="24"/>
          <w:lang w:val="en-US"/>
        </w:rPr>
        <w:t>, Sándor Valkai</w:t>
      </w:r>
      <w:r w:rsidRPr="00E37ED4">
        <w:rPr>
          <w:rFonts w:ascii="Times New Roman" w:hAnsi="Times New Roman"/>
          <w:sz w:val="24"/>
          <w:szCs w:val="24"/>
          <w:vertAlign w:val="superscript"/>
          <w:lang w:val="en-US"/>
        </w:rPr>
        <w:t>#</w:t>
      </w:r>
      <w:r w:rsidRPr="00583E14">
        <w:rPr>
          <w:rFonts w:ascii="Times New Roman" w:hAnsi="Times New Roman"/>
          <w:sz w:val="24"/>
          <w:szCs w:val="24"/>
          <w:lang w:val="en-US"/>
        </w:rPr>
        <w:t>, András Kincses, András Petneházi, Tamás Czeller, Szilvia Veszelka, Pál Ormos, Mária A. Deli*, András Dér*</w:t>
      </w:r>
    </w:p>
    <w:p w:rsidR="004C1DA7" w:rsidRPr="00583E14" w:rsidRDefault="004C1DA7" w:rsidP="00583E14">
      <w:pPr>
        <w:spacing w:line="360" w:lineRule="auto"/>
        <w:rPr>
          <w:rFonts w:ascii="Times New Roman" w:hAnsi="Times New Roman"/>
          <w:sz w:val="24"/>
          <w:szCs w:val="24"/>
          <w:lang w:val="en-US"/>
        </w:rPr>
      </w:pPr>
      <w:smartTag w:uri="urn:schemas-microsoft-com:office:smarttags" w:element="PlaceType">
        <w:r w:rsidRPr="00583E14">
          <w:rPr>
            <w:rFonts w:ascii="Times New Roman" w:hAnsi="Times New Roman"/>
            <w:sz w:val="24"/>
            <w:szCs w:val="24"/>
            <w:lang w:val="en-US"/>
          </w:rPr>
          <w:t>Institute</w:t>
        </w:r>
      </w:smartTag>
      <w:r w:rsidRPr="00583E14">
        <w:rPr>
          <w:rFonts w:ascii="Times New Roman" w:hAnsi="Times New Roman"/>
          <w:sz w:val="24"/>
          <w:szCs w:val="24"/>
          <w:lang w:val="en-US"/>
        </w:rPr>
        <w:t xml:space="preserve"> of </w:t>
      </w:r>
      <w:smartTag w:uri="urn:schemas-microsoft-com:office:smarttags" w:element="PlaceName">
        <w:r w:rsidRPr="00583E14">
          <w:rPr>
            <w:rFonts w:ascii="Times New Roman" w:hAnsi="Times New Roman"/>
            <w:sz w:val="24"/>
            <w:szCs w:val="24"/>
            <w:lang w:val="en-US"/>
          </w:rPr>
          <w:t>Biophysics</w:t>
        </w:r>
      </w:smartTag>
      <w:r w:rsidRPr="00583E14">
        <w:rPr>
          <w:rFonts w:ascii="Times New Roman" w:hAnsi="Times New Roman"/>
          <w:sz w:val="24"/>
          <w:szCs w:val="24"/>
          <w:lang w:val="en-US"/>
        </w:rPr>
        <w:t xml:space="preserve">, Biological Research Centre, </w:t>
      </w:r>
      <w:smartTag w:uri="urn:schemas-microsoft-com:office:smarttags" w:element="place">
        <w:smartTag w:uri="urn:schemas-microsoft-com:office:smarttags" w:element="PlaceName">
          <w:r w:rsidRPr="00583E14">
            <w:rPr>
              <w:rFonts w:ascii="Times New Roman" w:hAnsi="Times New Roman"/>
              <w:sz w:val="24"/>
              <w:szCs w:val="24"/>
              <w:lang w:val="en-US"/>
            </w:rPr>
            <w:t>Hungarian</w:t>
          </w:r>
        </w:smartTag>
        <w:r w:rsidRPr="00583E14">
          <w:rPr>
            <w:rFonts w:ascii="Times New Roman" w:hAnsi="Times New Roman"/>
            <w:sz w:val="24"/>
            <w:szCs w:val="24"/>
            <w:lang w:val="en-US"/>
          </w:rPr>
          <w:t xml:space="preserve"> </w:t>
        </w:r>
        <w:smartTag w:uri="urn:schemas-microsoft-com:office:smarttags" w:element="PlaceType">
          <w:r w:rsidRPr="00583E14">
            <w:rPr>
              <w:rFonts w:ascii="Times New Roman" w:hAnsi="Times New Roman"/>
              <w:sz w:val="24"/>
              <w:szCs w:val="24"/>
              <w:lang w:val="en-US"/>
            </w:rPr>
            <w:t>Academy</w:t>
          </w:r>
        </w:smartTag>
      </w:smartTag>
      <w:r w:rsidRPr="00583E14">
        <w:rPr>
          <w:rFonts w:ascii="Times New Roman" w:hAnsi="Times New Roman"/>
          <w:sz w:val="24"/>
          <w:szCs w:val="24"/>
          <w:lang w:val="en-US"/>
        </w:rPr>
        <w:t xml:space="preserve"> of Sciences, Temesvári krt. 62, H-6726, </w:t>
      </w:r>
      <w:smartTag w:uri="urn:schemas-microsoft-com:office:smarttags" w:element="place">
        <w:smartTag w:uri="urn:schemas-microsoft-com:office:smarttags" w:element="City">
          <w:r w:rsidRPr="00583E14">
            <w:rPr>
              <w:rFonts w:ascii="Times New Roman" w:hAnsi="Times New Roman"/>
              <w:sz w:val="24"/>
              <w:szCs w:val="24"/>
              <w:lang w:val="en-US"/>
            </w:rPr>
            <w:t>Szeged</w:t>
          </w:r>
        </w:smartTag>
        <w:r w:rsidRPr="00583E14">
          <w:rPr>
            <w:rFonts w:ascii="Times New Roman" w:hAnsi="Times New Roman"/>
            <w:sz w:val="24"/>
            <w:szCs w:val="24"/>
            <w:lang w:val="en-US"/>
          </w:rPr>
          <w:t xml:space="preserve">, </w:t>
        </w:r>
        <w:smartTag w:uri="urn:schemas-microsoft-com:office:smarttags" w:element="country-region">
          <w:r w:rsidRPr="00583E14">
            <w:rPr>
              <w:rFonts w:ascii="Times New Roman" w:hAnsi="Times New Roman"/>
              <w:sz w:val="24"/>
              <w:szCs w:val="24"/>
              <w:lang w:val="en-US"/>
            </w:rPr>
            <w:t>Hungary</w:t>
          </w:r>
        </w:smartTag>
      </w:smartTag>
    </w:p>
    <w:p w:rsidR="004C1DA7" w:rsidRDefault="004C1DA7" w:rsidP="00583E14">
      <w:pPr>
        <w:spacing w:line="360" w:lineRule="auto"/>
        <w:rPr>
          <w:rFonts w:ascii="Times New Roman" w:hAnsi="Times New Roman"/>
          <w:sz w:val="24"/>
          <w:szCs w:val="24"/>
          <w:lang w:val="en-US"/>
        </w:rPr>
      </w:pPr>
      <w:r w:rsidRPr="00E37ED4">
        <w:rPr>
          <w:rFonts w:ascii="Times New Roman" w:hAnsi="Times New Roman"/>
          <w:sz w:val="24"/>
          <w:szCs w:val="24"/>
          <w:vertAlign w:val="superscript"/>
          <w:lang w:val="en-US"/>
        </w:rPr>
        <w:t>#</w:t>
      </w:r>
      <w:r w:rsidRPr="00583E14">
        <w:rPr>
          <w:rFonts w:ascii="Times New Roman" w:hAnsi="Times New Roman"/>
          <w:sz w:val="24"/>
          <w:szCs w:val="24"/>
          <w:lang w:val="en-US"/>
        </w:rPr>
        <w:t xml:space="preserve"> authors contributed equally to this manuscript</w:t>
      </w:r>
    </w:p>
    <w:p w:rsidR="004C1DA7" w:rsidRPr="00583E14" w:rsidRDefault="004C1DA7" w:rsidP="00583E14">
      <w:pPr>
        <w:spacing w:line="360" w:lineRule="auto"/>
        <w:rPr>
          <w:rFonts w:ascii="Times New Roman" w:hAnsi="Times New Roman"/>
          <w:sz w:val="24"/>
          <w:szCs w:val="24"/>
          <w:lang w:val="en-US"/>
        </w:rPr>
      </w:pPr>
    </w:p>
    <w:p w:rsidR="004C1DA7" w:rsidRPr="00583E14" w:rsidRDefault="004C1DA7" w:rsidP="00583E14">
      <w:pPr>
        <w:spacing w:line="360" w:lineRule="auto"/>
        <w:rPr>
          <w:rFonts w:ascii="Times New Roman" w:hAnsi="Times New Roman"/>
          <w:sz w:val="24"/>
          <w:szCs w:val="24"/>
          <w:lang w:val="en-US"/>
        </w:rPr>
      </w:pPr>
      <w:r w:rsidRPr="00583E14">
        <w:rPr>
          <w:rFonts w:ascii="Times New Roman" w:hAnsi="Times New Roman"/>
          <w:sz w:val="24"/>
          <w:szCs w:val="24"/>
          <w:lang w:val="en-US"/>
        </w:rPr>
        <w:t>* Corresponding authors:</w:t>
      </w:r>
    </w:p>
    <w:p w:rsidR="004C1DA7" w:rsidRPr="00583E14" w:rsidRDefault="004C1DA7" w:rsidP="00583E14">
      <w:pPr>
        <w:spacing w:line="360" w:lineRule="auto"/>
        <w:rPr>
          <w:rFonts w:ascii="Times New Roman" w:hAnsi="Times New Roman"/>
          <w:sz w:val="24"/>
          <w:szCs w:val="24"/>
          <w:lang w:val="en-US"/>
        </w:rPr>
      </w:pPr>
      <w:r w:rsidRPr="00583E14">
        <w:rPr>
          <w:rFonts w:ascii="Times New Roman" w:hAnsi="Times New Roman"/>
          <w:sz w:val="24"/>
          <w:szCs w:val="24"/>
          <w:lang w:val="en-US"/>
        </w:rPr>
        <w:t>András Dér</w:t>
      </w:r>
    </w:p>
    <w:p w:rsidR="004C1DA7" w:rsidRPr="00583E14" w:rsidRDefault="004C1DA7" w:rsidP="00583E14">
      <w:pPr>
        <w:spacing w:line="360" w:lineRule="auto"/>
        <w:rPr>
          <w:rFonts w:ascii="Times New Roman" w:hAnsi="Times New Roman"/>
          <w:sz w:val="24"/>
          <w:szCs w:val="24"/>
          <w:lang w:val="en-US"/>
        </w:rPr>
      </w:pPr>
      <w:r w:rsidRPr="00583E14">
        <w:rPr>
          <w:rFonts w:ascii="Times New Roman" w:hAnsi="Times New Roman"/>
          <w:sz w:val="24"/>
          <w:szCs w:val="24"/>
          <w:lang w:val="en-US"/>
        </w:rPr>
        <w:t>E-mail: der.andras@brc.mta.hu</w:t>
      </w:r>
    </w:p>
    <w:p w:rsidR="004C1DA7" w:rsidRPr="00583E14" w:rsidRDefault="004C1DA7" w:rsidP="00583E14">
      <w:pPr>
        <w:spacing w:line="360" w:lineRule="auto"/>
        <w:rPr>
          <w:rFonts w:ascii="Times New Roman" w:hAnsi="Times New Roman"/>
          <w:sz w:val="24"/>
          <w:szCs w:val="24"/>
          <w:lang w:val="en-US"/>
        </w:rPr>
      </w:pPr>
      <w:r>
        <w:rPr>
          <w:rFonts w:ascii="Times New Roman" w:hAnsi="Times New Roman"/>
          <w:sz w:val="24"/>
          <w:szCs w:val="24"/>
          <w:lang w:val="en-US"/>
        </w:rPr>
        <w:t>and</w:t>
      </w:r>
    </w:p>
    <w:p w:rsidR="004C1DA7" w:rsidRPr="00583E14" w:rsidRDefault="004C1DA7" w:rsidP="00583E14">
      <w:pPr>
        <w:spacing w:line="360" w:lineRule="auto"/>
        <w:rPr>
          <w:rFonts w:ascii="Times New Roman" w:hAnsi="Times New Roman"/>
          <w:sz w:val="24"/>
          <w:szCs w:val="24"/>
          <w:lang w:val="en-US"/>
        </w:rPr>
      </w:pPr>
      <w:r w:rsidRPr="00583E14">
        <w:rPr>
          <w:rFonts w:ascii="Times New Roman" w:hAnsi="Times New Roman"/>
          <w:sz w:val="24"/>
          <w:szCs w:val="24"/>
          <w:lang w:val="en-US"/>
        </w:rPr>
        <w:t>Mária A. Deli</w:t>
      </w:r>
    </w:p>
    <w:p w:rsidR="004C1DA7" w:rsidRPr="00583E14" w:rsidRDefault="004C1DA7" w:rsidP="00583E14">
      <w:pPr>
        <w:spacing w:line="360" w:lineRule="auto"/>
        <w:rPr>
          <w:rFonts w:ascii="Times New Roman" w:hAnsi="Times New Roman"/>
          <w:sz w:val="24"/>
          <w:szCs w:val="24"/>
          <w:lang w:val="en-US"/>
        </w:rPr>
      </w:pPr>
      <w:r w:rsidRPr="00583E14">
        <w:rPr>
          <w:rFonts w:ascii="Times New Roman" w:hAnsi="Times New Roman"/>
          <w:sz w:val="24"/>
          <w:szCs w:val="24"/>
          <w:lang w:val="en-US"/>
        </w:rPr>
        <w:t>E-mail: deli.maria@brc.mta.hu</w:t>
      </w:r>
    </w:p>
    <w:p w:rsidR="004C1DA7" w:rsidRDefault="004C1DA7">
      <w:pPr>
        <w:rPr>
          <w:rFonts w:ascii="Times New Roman" w:hAnsi="Times New Roman"/>
          <w:b/>
          <w:sz w:val="24"/>
          <w:szCs w:val="24"/>
          <w:lang w:val="en-US"/>
        </w:rPr>
      </w:pPr>
      <w:r>
        <w:rPr>
          <w:rFonts w:ascii="Times New Roman" w:hAnsi="Times New Roman"/>
          <w:b/>
          <w:sz w:val="24"/>
          <w:szCs w:val="24"/>
          <w:lang w:val="en-US"/>
        </w:rPr>
        <w:br w:type="page"/>
      </w:r>
    </w:p>
    <w:p w:rsidR="004C1DA7" w:rsidRPr="004A776B" w:rsidRDefault="004C1DA7" w:rsidP="00163221">
      <w:pPr>
        <w:spacing w:after="0" w:line="360" w:lineRule="auto"/>
        <w:jc w:val="both"/>
        <w:rPr>
          <w:rFonts w:ascii="Times New Roman" w:hAnsi="Times New Roman"/>
          <w:b/>
          <w:sz w:val="24"/>
          <w:szCs w:val="24"/>
          <w:highlight w:val="yellow"/>
          <w:lang w:val="en-US"/>
        </w:rPr>
      </w:pPr>
      <w:r w:rsidRPr="004A776B">
        <w:rPr>
          <w:rFonts w:ascii="Times New Roman" w:hAnsi="Times New Roman"/>
          <w:b/>
          <w:sz w:val="24"/>
          <w:szCs w:val="24"/>
          <w:highlight w:val="yellow"/>
          <w:lang w:val="en-US"/>
        </w:rPr>
        <w:t>Results</w:t>
      </w:r>
    </w:p>
    <w:p w:rsidR="004C1DA7" w:rsidRPr="004A776B" w:rsidRDefault="004C1DA7" w:rsidP="00163221">
      <w:pPr>
        <w:spacing w:after="0" w:line="360" w:lineRule="auto"/>
        <w:jc w:val="both"/>
        <w:rPr>
          <w:rFonts w:ascii="Times New Roman" w:hAnsi="Times New Roman"/>
          <w:b/>
          <w:sz w:val="24"/>
          <w:szCs w:val="24"/>
          <w:highlight w:val="yellow"/>
          <w:lang w:val="en-US"/>
        </w:rPr>
      </w:pPr>
      <w:r w:rsidRPr="004A776B">
        <w:rPr>
          <w:rFonts w:ascii="Times New Roman" w:hAnsi="Times New Roman"/>
          <w:b/>
          <w:sz w:val="24"/>
          <w:szCs w:val="24"/>
          <w:highlight w:val="yellow"/>
          <w:lang w:val="en-US"/>
        </w:rPr>
        <w:t>Evaluation of permeability data vs. molecular size</w:t>
      </w:r>
    </w:p>
    <w:p w:rsidR="004C1DA7" w:rsidRPr="004A776B" w:rsidRDefault="004C1DA7" w:rsidP="00163221">
      <w:pPr>
        <w:autoSpaceDE w:val="0"/>
        <w:autoSpaceDN w:val="0"/>
        <w:adjustRightInd w:val="0"/>
        <w:spacing w:after="0" w:line="360" w:lineRule="auto"/>
        <w:ind w:firstLine="708"/>
        <w:jc w:val="both"/>
        <w:rPr>
          <w:rFonts w:ascii="Times New Roman" w:hAnsi="Times New Roman"/>
          <w:sz w:val="24"/>
          <w:szCs w:val="24"/>
          <w:highlight w:val="yellow"/>
          <w:lang w:val="en-US"/>
        </w:rPr>
      </w:pPr>
      <w:r w:rsidRPr="004A776B">
        <w:rPr>
          <w:rFonts w:ascii="Times New Roman" w:hAnsi="Times New Roman"/>
          <w:sz w:val="24"/>
          <w:szCs w:val="24"/>
          <w:highlight w:val="yellow"/>
          <w:lang w:val="en-US"/>
        </w:rPr>
        <w:t>Three permeability marker molecules with different size were used: fluorescein (376 Da, d = 1 nm, [S1]), FITC-dextran (4.4 kDa, d = 2.8 nm; [S1]), albumin (67 kDa, d = 7 nm; [S2]). The transfer of fluorescein, the smallest molecule, was the highest and that of albumin, the biggest molecule, was the lowest across all four barrier models (see Fig. S2). These results are in agreement with the data of Fu et al. [S1]. They demonstrated that dextran-20 kDa, -40 kDa, and -70 kDa have a large difference in molecular weight but their in vivo blood-brain barrier permeability only differs by less than 35 %, suggesting that these barriers are selective to large marker molecules and less selective to small solutes, like fluorescein and FITC-dextran 4.4 kDa, which have higher permeability. Those models, Caco-2 and primary brain endothelial cells which have the highest resistance, have the lowest permeability and the A549 and D3 models which present low resistance show high permeability for the markers.</w:t>
      </w:r>
    </w:p>
    <w:p w:rsidR="004C1DA7" w:rsidRPr="004A776B" w:rsidRDefault="004C1DA7" w:rsidP="00163221">
      <w:pPr>
        <w:autoSpaceDE w:val="0"/>
        <w:autoSpaceDN w:val="0"/>
        <w:adjustRightInd w:val="0"/>
        <w:spacing w:after="0" w:line="360" w:lineRule="auto"/>
        <w:ind w:firstLine="708"/>
        <w:jc w:val="both"/>
        <w:rPr>
          <w:rFonts w:ascii="Times New Roman" w:hAnsi="Times New Roman"/>
          <w:sz w:val="24"/>
          <w:szCs w:val="24"/>
          <w:highlight w:val="yellow"/>
          <w:lang w:val="en-US"/>
        </w:rPr>
      </w:pPr>
    </w:p>
    <w:p w:rsidR="004C1DA7" w:rsidRPr="004A776B" w:rsidRDefault="004C1DA7" w:rsidP="00163221">
      <w:pPr>
        <w:autoSpaceDE w:val="0"/>
        <w:autoSpaceDN w:val="0"/>
        <w:adjustRightInd w:val="0"/>
        <w:spacing w:after="0" w:line="360" w:lineRule="auto"/>
        <w:jc w:val="both"/>
        <w:rPr>
          <w:rFonts w:ascii="Times New Roman" w:hAnsi="Times New Roman"/>
          <w:b/>
          <w:sz w:val="24"/>
          <w:szCs w:val="24"/>
          <w:highlight w:val="yellow"/>
          <w:lang w:val="en-US"/>
        </w:rPr>
      </w:pPr>
      <w:r w:rsidRPr="004A776B">
        <w:rPr>
          <w:rFonts w:ascii="Times New Roman" w:hAnsi="Times New Roman"/>
          <w:b/>
          <w:sz w:val="24"/>
          <w:szCs w:val="24"/>
          <w:highlight w:val="yellow"/>
          <w:lang w:val="en-US"/>
        </w:rPr>
        <w:t>Establishment of the device in a laboratory environment</w:t>
      </w:r>
    </w:p>
    <w:p w:rsidR="004C1DA7" w:rsidRPr="004A776B" w:rsidRDefault="004C1DA7" w:rsidP="00415131">
      <w:pPr>
        <w:spacing w:after="0" w:line="360" w:lineRule="auto"/>
        <w:ind w:firstLine="708"/>
        <w:jc w:val="both"/>
        <w:rPr>
          <w:rFonts w:ascii="Times New Roman" w:hAnsi="Times New Roman"/>
          <w:sz w:val="24"/>
          <w:szCs w:val="24"/>
          <w:highlight w:val="yellow"/>
          <w:lang w:val="en-US"/>
        </w:rPr>
      </w:pPr>
      <w:r w:rsidRPr="004A776B">
        <w:rPr>
          <w:rFonts w:ascii="Times New Roman" w:hAnsi="Times New Roman"/>
          <w:sz w:val="24"/>
          <w:szCs w:val="24"/>
          <w:highlight w:val="yellow"/>
          <w:lang w:val="en-US"/>
        </w:rPr>
        <w:t>Performing chip experiments in several parallels was feasible, as demonstrated by the photos of our work stage showing the system level of the experiments (Fig. S3). A dedicated space was used for the chip studies, where the laminar box, the incubator and the phase contrast microscop</w:t>
      </w:r>
      <w:r>
        <w:rPr>
          <w:rFonts w:ascii="Times New Roman" w:hAnsi="Times New Roman"/>
          <w:sz w:val="24"/>
          <w:szCs w:val="24"/>
          <w:highlight w:val="yellow"/>
          <w:lang w:val="en-US"/>
        </w:rPr>
        <w:t>e were very close to each other</w:t>
      </w:r>
      <w:r w:rsidRPr="004A776B">
        <w:rPr>
          <w:rFonts w:ascii="Times New Roman" w:hAnsi="Times New Roman"/>
          <w:sz w:val="24"/>
          <w:szCs w:val="24"/>
          <w:highlight w:val="yellow"/>
          <w:lang w:val="en-US"/>
        </w:rPr>
        <w:t xml:space="preserve"> (Fig. S3A). Our peristaltic pump can accommodate up to 8 silicon tubes, through which the flow can be maintained in the same number of chips, simultaneously (Fig. S3B,C). The tubes and the electric wires for the TEER measurements can operate even if the door of the incubator is closed, allowing a full computer control of this part of the experiments. The chips are removed from the incubator only for microscopic observation, but this procedure is also performed on site (Fig. S3D).</w:t>
      </w:r>
    </w:p>
    <w:p w:rsidR="004C1DA7" w:rsidRPr="004A776B" w:rsidRDefault="004C1DA7" w:rsidP="00721A3A">
      <w:pPr>
        <w:spacing w:after="0" w:line="360" w:lineRule="auto"/>
        <w:jc w:val="both"/>
        <w:rPr>
          <w:rFonts w:ascii="Times New Roman" w:hAnsi="Times New Roman"/>
          <w:sz w:val="24"/>
          <w:szCs w:val="24"/>
          <w:highlight w:val="yellow"/>
          <w:lang w:val="en-US"/>
        </w:rPr>
      </w:pPr>
    </w:p>
    <w:p w:rsidR="004C1DA7" w:rsidRPr="004A776B" w:rsidRDefault="004C1DA7" w:rsidP="00721A3A">
      <w:pPr>
        <w:spacing w:after="0" w:line="360" w:lineRule="auto"/>
        <w:jc w:val="both"/>
        <w:rPr>
          <w:rFonts w:ascii="Times New Roman" w:hAnsi="Times New Roman"/>
          <w:b/>
          <w:sz w:val="24"/>
          <w:szCs w:val="24"/>
          <w:highlight w:val="yellow"/>
          <w:lang w:val="en-US"/>
        </w:rPr>
      </w:pPr>
      <w:r w:rsidRPr="004A776B">
        <w:rPr>
          <w:rFonts w:ascii="Times New Roman" w:hAnsi="Times New Roman"/>
          <w:b/>
          <w:sz w:val="24"/>
          <w:szCs w:val="24"/>
          <w:highlight w:val="yellow"/>
          <w:lang w:val="en-US"/>
        </w:rPr>
        <w:t>Evaluation of the transmission spectra of golden or ITO electrodes</w:t>
      </w:r>
    </w:p>
    <w:p w:rsidR="004C1DA7" w:rsidRPr="004A776B" w:rsidRDefault="004C1DA7" w:rsidP="0026599B">
      <w:pPr>
        <w:spacing w:after="0" w:line="360" w:lineRule="auto"/>
        <w:ind w:firstLine="708"/>
        <w:jc w:val="both"/>
        <w:rPr>
          <w:rFonts w:ascii="Times New Roman" w:hAnsi="Times New Roman"/>
          <w:sz w:val="24"/>
          <w:szCs w:val="24"/>
          <w:highlight w:val="yellow"/>
          <w:lang w:val="en-US"/>
        </w:rPr>
      </w:pPr>
      <w:r w:rsidRPr="004A776B">
        <w:rPr>
          <w:rFonts w:ascii="Times New Roman" w:hAnsi="Times New Roman"/>
          <w:sz w:val="24"/>
          <w:szCs w:val="24"/>
          <w:highlight w:val="yellow"/>
          <w:lang w:val="en-US"/>
        </w:rPr>
        <w:t xml:space="preserve">The transmission spectra of the ITO and gold electrodes were recorded by a spectrophotometer (Unicam UV4) from 400 to 700 nm. As it is shown, even the transmission of the gold electrodes exceeded 50% (Fig. S4), allowing visual monitoring of the full barrier surface by a phase contrast microscope (see Figs. </w:t>
      </w:r>
      <w:r>
        <w:rPr>
          <w:rFonts w:ascii="Times New Roman" w:hAnsi="Times New Roman"/>
          <w:sz w:val="24"/>
          <w:szCs w:val="24"/>
          <w:highlight w:val="yellow"/>
          <w:lang w:val="en-US"/>
        </w:rPr>
        <w:t>4</w:t>
      </w:r>
      <w:r w:rsidRPr="004A776B">
        <w:rPr>
          <w:rFonts w:ascii="Times New Roman" w:hAnsi="Times New Roman"/>
          <w:sz w:val="24"/>
          <w:szCs w:val="24"/>
          <w:highlight w:val="yellow"/>
          <w:lang w:val="en-US"/>
        </w:rPr>
        <w:t>-</w:t>
      </w:r>
      <w:smartTag w:uri="urn:schemas-microsoft-com:office:smarttags" w:element="metricconverter">
        <w:smartTagPr>
          <w:attr w:name="ProductID" w:val="7. in"/>
        </w:smartTagPr>
        <w:r>
          <w:rPr>
            <w:rFonts w:ascii="Times New Roman" w:hAnsi="Times New Roman"/>
            <w:sz w:val="24"/>
            <w:szCs w:val="24"/>
            <w:highlight w:val="yellow"/>
            <w:lang w:val="en-US"/>
          </w:rPr>
          <w:t>7</w:t>
        </w:r>
        <w:r w:rsidRPr="004A776B">
          <w:rPr>
            <w:rFonts w:ascii="Times New Roman" w:hAnsi="Times New Roman"/>
            <w:sz w:val="24"/>
            <w:szCs w:val="24"/>
            <w:highlight w:val="yellow"/>
            <w:lang w:val="en-US"/>
          </w:rPr>
          <w:t>. in</w:t>
        </w:r>
      </w:smartTag>
      <w:r w:rsidRPr="004A776B">
        <w:rPr>
          <w:rFonts w:ascii="Times New Roman" w:hAnsi="Times New Roman"/>
          <w:sz w:val="24"/>
          <w:szCs w:val="24"/>
          <w:highlight w:val="yellow"/>
          <w:lang w:val="en-US"/>
        </w:rPr>
        <w:t xml:space="preserve"> the paper).</w:t>
      </w:r>
    </w:p>
    <w:p w:rsidR="004C1DA7" w:rsidRPr="004A776B" w:rsidRDefault="004C1DA7" w:rsidP="00721A3A">
      <w:pPr>
        <w:spacing w:after="0" w:line="360" w:lineRule="auto"/>
        <w:jc w:val="both"/>
        <w:rPr>
          <w:rFonts w:ascii="Times New Roman" w:hAnsi="Times New Roman"/>
          <w:sz w:val="24"/>
          <w:szCs w:val="24"/>
          <w:highlight w:val="yellow"/>
          <w:lang w:val="en-US"/>
        </w:rPr>
      </w:pPr>
    </w:p>
    <w:p w:rsidR="004C1DA7" w:rsidRPr="004A776B" w:rsidRDefault="004C1DA7" w:rsidP="00DA5EEA">
      <w:pPr>
        <w:spacing w:after="0" w:line="360" w:lineRule="auto"/>
        <w:jc w:val="both"/>
        <w:rPr>
          <w:rFonts w:ascii="Times New Roman" w:hAnsi="Times New Roman"/>
          <w:b/>
          <w:sz w:val="24"/>
          <w:szCs w:val="24"/>
          <w:highlight w:val="yellow"/>
          <w:lang w:val="en-US"/>
        </w:rPr>
      </w:pPr>
      <w:r w:rsidRPr="004A776B">
        <w:rPr>
          <w:rFonts w:ascii="Times New Roman" w:hAnsi="Times New Roman"/>
          <w:b/>
          <w:sz w:val="24"/>
          <w:szCs w:val="24"/>
          <w:highlight w:val="yellow"/>
          <w:lang w:val="en-US"/>
        </w:rPr>
        <w:t>References</w:t>
      </w:r>
    </w:p>
    <w:p w:rsidR="004C1DA7" w:rsidRPr="004A776B" w:rsidRDefault="004C1DA7" w:rsidP="00D24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highlight w:val="yellow"/>
          <w:lang w:val="en-US"/>
        </w:rPr>
      </w:pPr>
      <w:r w:rsidRPr="004A776B">
        <w:rPr>
          <w:rFonts w:ascii="Times New Roman" w:hAnsi="Times New Roman"/>
          <w:sz w:val="24"/>
          <w:szCs w:val="24"/>
          <w:highlight w:val="yellow"/>
          <w:lang w:val="en-US"/>
        </w:rPr>
        <w:t xml:space="preserve">[S1] L. Shi, M. Zeng, Y. Sun and B.M. Fu, J Biomech Eng, </w:t>
      </w:r>
      <w:r w:rsidRPr="004A776B">
        <w:rPr>
          <w:rFonts w:ascii="Times New Roman" w:hAnsi="Times New Roman"/>
          <w:b/>
          <w:sz w:val="24"/>
          <w:szCs w:val="24"/>
          <w:highlight w:val="yellow"/>
          <w:lang w:val="en-US"/>
        </w:rPr>
        <w:t>136</w:t>
      </w:r>
      <w:r w:rsidRPr="004A776B">
        <w:rPr>
          <w:rFonts w:ascii="Times New Roman" w:hAnsi="Times New Roman"/>
          <w:sz w:val="24"/>
          <w:szCs w:val="24"/>
          <w:highlight w:val="yellow"/>
          <w:lang w:val="en-US"/>
        </w:rPr>
        <w:t>, 031005 (2014)</w:t>
      </w:r>
    </w:p>
    <w:p w:rsidR="004C1DA7" w:rsidRDefault="004C1DA7" w:rsidP="005B0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lang w:val="en-US"/>
        </w:rPr>
      </w:pPr>
      <w:r w:rsidRPr="004A776B">
        <w:rPr>
          <w:rFonts w:ascii="Times New Roman" w:hAnsi="Times New Roman"/>
          <w:sz w:val="24"/>
          <w:szCs w:val="24"/>
          <w:highlight w:val="yellow"/>
          <w:lang w:val="en-US"/>
        </w:rPr>
        <w:t xml:space="preserve">[S2] A. Tojo and S. Kinugasa, Int J Nephrol, </w:t>
      </w:r>
      <w:r w:rsidRPr="004A776B">
        <w:rPr>
          <w:rFonts w:ascii="Times New Roman" w:hAnsi="Times New Roman"/>
          <w:b/>
          <w:sz w:val="24"/>
          <w:szCs w:val="24"/>
          <w:highlight w:val="yellow"/>
          <w:lang w:val="en-US"/>
        </w:rPr>
        <w:t>2012</w:t>
      </w:r>
      <w:r w:rsidRPr="004A776B">
        <w:rPr>
          <w:rFonts w:ascii="Times New Roman" w:hAnsi="Times New Roman"/>
          <w:sz w:val="24"/>
          <w:szCs w:val="24"/>
          <w:highlight w:val="yellow"/>
          <w:lang w:val="en-US"/>
        </w:rPr>
        <w:t>, 481520 (2012)</w:t>
      </w:r>
      <w:r>
        <w:rPr>
          <w:rFonts w:ascii="Times New Roman" w:hAnsi="Times New Roman"/>
          <w:sz w:val="24"/>
          <w:szCs w:val="24"/>
          <w:lang w:val="en-US"/>
        </w:rPr>
        <w:br w:type="page"/>
      </w:r>
    </w:p>
    <w:p w:rsidR="004C1DA7" w:rsidRDefault="004C1DA7" w:rsidP="00DA5EEA">
      <w:pPr>
        <w:spacing w:after="0" w:line="360" w:lineRule="auto"/>
        <w:jc w:val="both"/>
        <w:rPr>
          <w:rFonts w:ascii="Times New Roman" w:hAnsi="Times New Roman"/>
          <w:b/>
          <w:sz w:val="24"/>
          <w:szCs w:val="24"/>
          <w:lang w:val="en-US"/>
        </w:rPr>
      </w:pPr>
      <w:r w:rsidRPr="000F4693">
        <w:rPr>
          <w:rFonts w:ascii="Times New Roman" w:hAnsi="Times New Roman"/>
          <w:b/>
          <w:sz w:val="24"/>
          <w:szCs w:val="24"/>
          <w:lang w:val="en-US"/>
        </w:rPr>
        <w:t>Fig. S1</w:t>
      </w:r>
    </w:p>
    <w:p w:rsidR="004C1DA7" w:rsidRPr="000F4693" w:rsidRDefault="004C1DA7" w:rsidP="00DA5EEA">
      <w:pPr>
        <w:spacing w:after="0" w:line="360" w:lineRule="auto"/>
        <w:jc w:val="both"/>
        <w:rPr>
          <w:rFonts w:ascii="Times New Roman" w:hAnsi="Times New Roman"/>
          <w:b/>
          <w:sz w:val="24"/>
          <w:szCs w:val="24"/>
          <w:lang w:val="en-US"/>
        </w:rPr>
      </w:pPr>
    </w:p>
    <w:p w:rsidR="004C1DA7" w:rsidRDefault="004C1DA7" w:rsidP="00DA5EEA">
      <w:pPr>
        <w:spacing w:after="0" w:line="360" w:lineRule="auto"/>
        <w:jc w:val="both"/>
        <w:rPr>
          <w:rFonts w:ascii="Times New Roman" w:hAnsi="Times New Roman"/>
          <w:sz w:val="24"/>
          <w:szCs w:val="24"/>
          <w:lang w:val="en-US"/>
        </w:rPr>
      </w:pPr>
      <w:r w:rsidRPr="001C0EE0">
        <w:rPr>
          <w:rFonts w:ascii="Times New Roman" w:hAnsi="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i1025" type="#_x0000_t75" style="width:449.25pt;height:192.75pt;visibility:visible">
            <v:imagedata r:id="rId5" o:title=""/>
          </v:shape>
        </w:pict>
      </w:r>
    </w:p>
    <w:p w:rsidR="004C1DA7" w:rsidRDefault="004C1DA7" w:rsidP="005B07F3">
      <w:pPr>
        <w:spacing w:after="0" w:line="360" w:lineRule="auto"/>
        <w:jc w:val="both"/>
        <w:rPr>
          <w:rFonts w:ascii="Times New Roman" w:hAnsi="Times New Roman"/>
          <w:b/>
          <w:sz w:val="24"/>
          <w:szCs w:val="24"/>
          <w:lang w:val="en-US"/>
        </w:rPr>
      </w:pPr>
    </w:p>
    <w:p w:rsidR="004C1DA7" w:rsidRDefault="004C1DA7" w:rsidP="005B07F3">
      <w:pPr>
        <w:spacing w:after="0" w:line="360" w:lineRule="auto"/>
        <w:jc w:val="both"/>
        <w:rPr>
          <w:rFonts w:ascii="Times New Roman" w:hAnsi="Times New Roman"/>
          <w:sz w:val="24"/>
          <w:szCs w:val="24"/>
          <w:lang w:val="en-US"/>
        </w:rPr>
      </w:pPr>
      <w:r w:rsidRPr="007C0543">
        <w:rPr>
          <w:rFonts w:ascii="Times New Roman" w:hAnsi="Times New Roman"/>
          <w:b/>
          <w:sz w:val="24"/>
          <w:szCs w:val="24"/>
          <w:lang w:val="en-US"/>
        </w:rPr>
        <w:t>Fig. S1</w:t>
      </w:r>
      <w:r>
        <w:rPr>
          <w:rFonts w:ascii="Times New Roman" w:hAnsi="Times New Roman"/>
          <w:sz w:val="24"/>
          <w:szCs w:val="24"/>
          <w:lang w:val="en-US"/>
        </w:rPr>
        <w:t xml:space="preserve"> </w:t>
      </w:r>
      <w:r w:rsidRPr="00763BD5">
        <w:rPr>
          <w:rFonts w:ascii="Times New Roman" w:hAnsi="Times New Roman"/>
          <w:sz w:val="24"/>
          <w:szCs w:val="24"/>
          <w:lang w:val="en-US"/>
        </w:rPr>
        <w:t xml:space="preserve">During the biochip fabrication process several cell culture membrane types were </w:t>
      </w:r>
      <w:r>
        <w:rPr>
          <w:rFonts w:ascii="Times New Roman" w:hAnsi="Times New Roman"/>
          <w:sz w:val="24"/>
          <w:szCs w:val="24"/>
          <w:lang w:val="en-US"/>
        </w:rPr>
        <w:t>tested (Fig S1)</w:t>
      </w:r>
      <w:r w:rsidRPr="00763BD5">
        <w:rPr>
          <w:rFonts w:ascii="Times New Roman" w:hAnsi="Times New Roman"/>
          <w:sz w:val="24"/>
          <w:szCs w:val="24"/>
          <w:lang w:val="en-US"/>
        </w:rPr>
        <w:t xml:space="preserve">. </w:t>
      </w:r>
      <w:r>
        <w:rPr>
          <w:rFonts w:ascii="Times New Roman" w:hAnsi="Times New Roman"/>
          <w:sz w:val="24"/>
          <w:szCs w:val="24"/>
          <w:lang w:val="en-US"/>
        </w:rPr>
        <w:t xml:space="preserve">The membranes used in </w:t>
      </w:r>
      <w:r w:rsidRPr="00763BD5">
        <w:rPr>
          <w:rFonts w:ascii="Times New Roman" w:hAnsi="Times New Roman"/>
          <w:sz w:val="24"/>
          <w:szCs w:val="24"/>
          <w:lang w:val="en-US"/>
        </w:rPr>
        <w:t xml:space="preserve">Transwell inserts from the distributor </w:t>
      </w:r>
      <w:smartTag w:uri="urn:schemas-microsoft-com:office:smarttags" w:element="place">
        <w:smartTag w:uri="urn:schemas-microsoft-com:office:smarttags" w:element="City">
          <w:r w:rsidRPr="00763BD5">
            <w:rPr>
              <w:rFonts w:ascii="Times New Roman" w:hAnsi="Times New Roman"/>
              <w:sz w:val="24"/>
              <w:szCs w:val="24"/>
              <w:lang w:val="en-US"/>
            </w:rPr>
            <w:t>Corning</w:t>
          </w:r>
        </w:smartTag>
      </w:smartTag>
      <w:r w:rsidRPr="00763BD5">
        <w:rPr>
          <w:rFonts w:ascii="Times New Roman" w:hAnsi="Times New Roman"/>
          <w:sz w:val="24"/>
          <w:szCs w:val="24"/>
          <w:lang w:val="en-US"/>
        </w:rPr>
        <w:t xml:space="preserve"> </w:t>
      </w:r>
      <w:r>
        <w:rPr>
          <w:rFonts w:ascii="Times New Roman" w:hAnsi="Times New Roman"/>
          <w:sz w:val="24"/>
          <w:szCs w:val="24"/>
          <w:lang w:val="en-US"/>
        </w:rPr>
        <w:t xml:space="preserve">are not commercially available (Fig S1, first and second columns). Due to the length of the channel </w:t>
      </w:r>
      <w:r w:rsidRPr="00206DC0">
        <w:rPr>
          <w:rFonts w:ascii="Times New Roman" w:hAnsi="Times New Roman"/>
          <w:sz w:val="24"/>
          <w:szCs w:val="24"/>
          <w:lang w:val="en-US"/>
        </w:rPr>
        <w:t>(</w:t>
      </w:r>
      <w:smartTag w:uri="urn:schemas-microsoft-com:office:smarttags" w:element="metricconverter">
        <w:smartTagPr>
          <w:attr w:name="ProductID" w:val="12 mm"/>
        </w:smartTagPr>
        <w:r w:rsidRPr="00206DC0">
          <w:rPr>
            <w:rFonts w:ascii="Times New Roman" w:hAnsi="Times New Roman"/>
            <w:sz w:val="24"/>
            <w:szCs w:val="24"/>
            <w:lang w:val="en-US"/>
          </w:rPr>
          <w:t>37 mm</w:t>
        </w:r>
      </w:smartTag>
      <w:r w:rsidRPr="00206DC0">
        <w:rPr>
          <w:rFonts w:ascii="Times New Roman" w:hAnsi="Times New Roman"/>
          <w:sz w:val="24"/>
          <w:szCs w:val="24"/>
          <w:lang w:val="en-US"/>
        </w:rPr>
        <w:t>) excision of the membrane from Transwell inserts (</w:t>
      </w:r>
      <w:smartTag w:uri="urn:schemas-microsoft-com:office:smarttags" w:element="metricconverter">
        <w:smartTagPr>
          <w:attr w:name="ProductID" w:val="12 mm"/>
        </w:smartTagPr>
        <w:r w:rsidRPr="00206DC0">
          <w:rPr>
            <w:rFonts w:ascii="Times New Roman" w:hAnsi="Times New Roman"/>
            <w:sz w:val="24"/>
            <w:szCs w:val="24"/>
            <w:lang w:val="en-US"/>
          </w:rPr>
          <w:t>12 mm</w:t>
        </w:r>
      </w:smartTag>
      <w:r w:rsidRPr="00206DC0">
        <w:rPr>
          <w:rFonts w:ascii="Times New Roman" w:hAnsi="Times New Roman"/>
          <w:sz w:val="24"/>
          <w:szCs w:val="24"/>
          <w:lang w:val="en-US"/>
        </w:rPr>
        <w:t xml:space="preserve">) is not feasible. As </w:t>
      </w:r>
      <w:r>
        <w:rPr>
          <w:rFonts w:ascii="Times New Roman" w:hAnsi="Times New Roman"/>
          <w:sz w:val="24"/>
          <w:szCs w:val="24"/>
          <w:lang w:val="en-US"/>
        </w:rPr>
        <w:t>alternative solution</w:t>
      </w:r>
      <w:r w:rsidRPr="00763BD5">
        <w:rPr>
          <w:rFonts w:ascii="Times New Roman" w:hAnsi="Times New Roman"/>
          <w:sz w:val="24"/>
          <w:szCs w:val="24"/>
          <w:lang w:val="en-US"/>
        </w:rPr>
        <w:t xml:space="preserve"> membranes from it4ip and Traketch</w:t>
      </w:r>
      <w:r>
        <w:rPr>
          <w:rFonts w:ascii="Times New Roman" w:hAnsi="Times New Roman"/>
          <w:sz w:val="24"/>
          <w:szCs w:val="24"/>
          <w:lang w:val="en-US"/>
        </w:rPr>
        <w:t xml:space="preserve"> were also tested</w:t>
      </w:r>
      <w:r w:rsidRPr="00763BD5">
        <w:rPr>
          <w:rFonts w:ascii="Times New Roman" w:hAnsi="Times New Roman"/>
          <w:sz w:val="24"/>
          <w:szCs w:val="24"/>
          <w:lang w:val="en-US"/>
        </w:rPr>
        <w:t>. Only one membrane from it4ip with a double membrane thickness proved to be suitable for cell culture</w:t>
      </w:r>
      <w:r>
        <w:rPr>
          <w:rFonts w:ascii="Times New Roman" w:hAnsi="Times New Roman"/>
          <w:sz w:val="24"/>
          <w:szCs w:val="24"/>
          <w:lang w:val="en-US"/>
        </w:rPr>
        <w:t xml:space="preserve"> (Fig S1, third column)</w:t>
      </w:r>
      <w:r w:rsidRPr="00763BD5">
        <w:rPr>
          <w:rFonts w:ascii="Times New Roman" w:hAnsi="Times New Roman"/>
          <w:sz w:val="24"/>
          <w:szCs w:val="24"/>
          <w:lang w:val="en-US"/>
        </w:rPr>
        <w:t xml:space="preserve">. </w:t>
      </w:r>
      <w:r>
        <w:rPr>
          <w:rFonts w:ascii="Times New Roman" w:hAnsi="Times New Roman"/>
          <w:sz w:val="24"/>
          <w:szCs w:val="24"/>
          <w:lang w:val="en-US"/>
        </w:rPr>
        <w:t>Unfortunately porous membranes with similar thickness to Transwell were not</w:t>
      </w:r>
      <w:r w:rsidRPr="00763BD5">
        <w:rPr>
          <w:rFonts w:ascii="Times New Roman" w:hAnsi="Times New Roman"/>
          <w:sz w:val="24"/>
          <w:szCs w:val="24"/>
          <w:lang w:val="en-US"/>
        </w:rPr>
        <w:t xml:space="preserve"> suitable for cell culture</w:t>
      </w:r>
      <w:r>
        <w:rPr>
          <w:rFonts w:ascii="Times New Roman" w:hAnsi="Times New Roman"/>
          <w:sz w:val="24"/>
          <w:szCs w:val="24"/>
          <w:lang w:val="en-US"/>
        </w:rPr>
        <w:t xml:space="preserve"> (Fig S1, last two columns)</w:t>
      </w:r>
      <w:r w:rsidRPr="00763BD5">
        <w:rPr>
          <w:rFonts w:ascii="Times New Roman" w:hAnsi="Times New Roman"/>
          <w:sz w:val="24"/>
          <w:szCs w:val="24"/>
          <w:lang w:val="en-US"/>
        </w:rPr>
        <w:t xml:space="preserve">. </w:t>
      </w:r>
    </w:p>
    <w:p w:rsidR="004C1DA7" w:rsidRDefault="004C1DA7">
      <w:pPr>
        <w:rPr>
          <w:rFonts w:ascii="Times New Roman" w:hAnsi="Times New Roman"/>
          <w:sz w:val="24"/>
          <w:szCs w:val="24"/>
          <w:lang w:val="en-US"/>
        </w:rPr>
      </w:pPr>
      <w:r>
        <w:rPr>
          <w:rFonts w:ascii="Times New Roman" w:hAnsi="Times New Roman"/>
          <w:sz w:val="24"/>
          <w:szCs w:val="24"/>
          <w:lang w:val="en-US"/>
        </w:rPr>
        <w:br w:type="page"/>
      </w:r>
    </w:p>
    <w:p w:rsidR="004C1DA7" w:rsidRPr="0026599B" w:rsidRDefault="004C1DA7" w:rsidP="00DA5EEA">
      <w:pPr>
        <w:spacing w:after="0" w:line="360" w:lineRule="auto"/>
        <w:jc w:val="both"/>
        <w:rPr>
          <w:rFonts w:ascii="Times New Roman" w:hAnsi="Times New Roman"/>
          <w:b/>
          <w:sz w:val="24"/>
          <w:szCs w:val="24"/>
          <w:lang w:val="en-US"/>
        </w:rPr>
      </w:pPr>
      <w:r w:rsidRPr="005B07F3">
        <w:rPr>
          <w:rFonts w:ascii="Times New Roman" w:hAnsi="Times New Roman"/>
          <w:b/>
          <w:sz w:val="24"/>
          <w:szCs w:val="24"/>
          <w:highlight w:val="yellow"/>
          <w:lang w:val="en-US"/>
        </w:rPr>
        <w:t>Fig. S2</w:t>
      </w:r>
    </w:p>
    <w:p w:rsidR="004C1DA7" w:rsidRDefault="004C1DA7" w:rsidP="00DA5EEA">
      <w:pPr>
        <w:spacing w:after="0" w:line="360" w:lineRule="auto"/>
        <w:jc w:val="both"/>
        <w:rPr>
          <w:rFonts w:ascii="Times New Roman" w:hAnsi="Times New Roman"/>
          <w:sz w:val="24"/>
          <w:szCs w:val="24"/>
          <w:lang w:val="en-US"/>
        </w:rPr>
      </w:pPr>
      <w:r w:rsidRPr="001C0EE0">
        <w:rPr>
          <w:rFonts w:ascii="Times New Roman" w:hAnsi="Times New Roman"/>
          <w:noProof/>
          <w:color w:val="000000"/>
          <w:lang w:val="en-US"/>
        </w:rPr>
        <w:pict>
          <v:shape id="Kép 5" o:spid="_x0000_i1026" type="#_x0000_t75" style="width:450.75pt;height:320.25pt;visibility:visible">
            <v:imagedata r:id="rId6" o:title=""/>
          </v:shape>
        </w:pict>
      </w:r>
    </w:p>
    <w:p w:rsidR="004C1DA7" w:rsidRDefault="004C1DA7" w:rsidP="005B07F3">
      <w:pPr>
        <w:spacing w:after="0" w:line="360" w:lineRule="auto"/>
        <w:jc w:val="both"/>
        <w:rPr>
          <w:rFonts w:ascii="Times New Roman" w:hAnsi="Times New Roman"/>
          <w:sz w:val="24"/>
          <w:szCs w:val="24"/>
          <w:lang w:val="en-US"/>
        </w:rPr>
      </w:pPr>
    </w:p>
    <w:p w:rsidR="004C1DA7" w:rsidRPr="004A776B" w:rsidRDefault="004C1DA7" w:rsidP="005B07F3">
      <w:pPr>
        <w:spacing w:after="0" w:line="360" w:lineRule="auto"/>
        <w:jc w:val="both"/>
        <w:rPr>
          <w:rFonts w:ascii="Times New Roman" w:hAnsi="Times New Roman"/>
          <w:sz w:val="24"/>
          <w:szCs w:val="24"/>
          <w:highlight w:val="yellow"/>
          <w:lang w:val="en-US"/>
        </w:rPr>
      </w:pPr>
      <w:r w:rsidRPr="004A776B">
        <w:rPr>
          <w:rFonts w:ascii="Times New Roman" w:hAnsi="Times New Roman"/>
          <w:b/>
          <w:sz w:val="24"/>
          <w:szCs w:val="24"/>
          <w:highlight w:val="yellow"/>
          <w:lang w:val="en-US"/>
        </w:rPr>
        <w:t xml:space="preserve">Fig. S2 </w:t>
      </w:r>
      <w:r w:rsidRPr="004A776B">
        <w:rPr>
          <w:rFonts w:ascii="Times New Roman" w:hAnsi="Times New Roman"/>
          <w:sz w:val="24"/>
          <w:szCs w:val="24"/>
          <w:highlight w:val="yellow"/>
          <w:lang w:val="en-US"/>
        </w:rPr>
        <w:t>Permeability</w:t>
      </w:r>
      <w:r>
        <w:rPr>
          <w:rFonts w:ascii="Times New Roman" w:hAnsi="Times New Roman"/>
          <w:sz w:val="24"/>
          <w:szCs w:val="24"/>
          <w:highlight w:val="yellow"/>
          <w:lang w:val="en-US"/>
        </w:rPr>
        <w:t xml:space="preserve"> coefficient</w:t>
      </w:r>
      <w:r w:rsidRPr="004A776B">
        <w:rPr>
          <w:rFonts w:ascii="Times New Roman" w:hAnsi="Times New Roman"/>
          <w:sz w:val="24"/>
          <w:szCs w:val="24"/>
          <w:highlight w:val="yellow"/>
          <w:lang w:val="en-US"/>
        </w:rPr>
        <w:t xml:space="preserve"> values for the four barrier cell culture model</w:t>
      </w:r>
      <w:r>
        <w:rPr>
          <w:rFonts w:ascii="Times New Roman" w:hAnsi="Times New Roman"/>
          <w:sz w:val="24"/>
          <w:szCs w:val="24"/>
          <w:highlight w:val="yellow"/>
          <w:lang w:val="en-US"/>
        </w:rPr>
        <w:t>s</w:t>
      </w:r>
      <w:r w:rsidRPr="004A776B">
        <w:rPr>
          <w:rFonts w:ascii="Times New Roman" w:hAnsi="Times New Roman"/>
          <w:sz w:val="24"/>
          <w:szCs w:val="24"/>
          <w:highlight w:val="yellow"/>
          <w:lang w:val="en-US"/>
        </w:rPr>
        <w:t xml:space="preserve"> in the chip under static and dynamic conditions and on cell culture inserts are indicated. (A) Caco intestinal epithelial cell line data, (B) A549 lung epithelial cell line data, (C) hCMEC/D3 brain endothelial cell line data, (D) triple co-culture blood-brain barrier (BBB)</w:t>
      </w:r>
      <w:r>
        <w:rPr>
          <w:rFonts w:ascii="Times New Roman" w:hAnsi="Times New Roman"/>
          <w:sz w:val="24"/>
          <w:szCs w:val="24"/>
          <w:highlight w:val="yellow"/>
          <w:lang w:val="en-US"/>
        </w:rPr>
        <w:t xml:space="preserve"> model</w:t>
      </w:r>
      <w:r w:rsidRPr="004A776B">
        <w:rPr>
          <w:rFonts w:ascii="Times New Roman" w:hAnsi="Times New Roman"/>
          <w:sz w:val="24"/>
          <w:szCs w:val="24"/>
          <w:highlight w:val="yellow"/>
          <w:lang w:val="en-US"/>
        </w:rPr>
        <w:t xml:space="preserve"> data. Values are plotted versus the molecule diameters of fluorescein (SF, 376 Da, d = 1 nm), FITC-dextran (FD, 4.4 kDa, d = 2.8 nm) and albumin (EBA, 67 kDa, d = 7 nm). </w:t>
      </w:r>
    </w:p>
    <w:p w:rsidR="004C1DA7" w:rsidRDefault="004C1DA7" w:rsidP="00DA5EEA">
      <w:pPr>
        <w:spacing w:after="0" w:line="360" w:lineRule="auto"/>
        <w:jc w:val="both"/>
        <w:rPr>
          <w:rFonts w:ascii="Times New Roman" w:hAnsi="Times New Roman"/>
          <w:sz w:val="24"/>
          <w:szCs w:val="24"/>
          <w:lang w:val="en-US"/>
        </w:rPr>
      </w:pPr>
    </w:p>
    <w:p w:rsidR="004C1DA7" w:rsidRDefault="004C1DA7">
      <w:pPr>
        <w:rPr>
          <w:rFonts w:ascii="Times New Roman" w:hAnsi="Times New Roman"/>
          <w:sz w:val="24"/>
          <w:szCs w:val="24"/>
          <w:lang w:val="en-US"/>
        </w:rPr>
      </w:pPr>
      <w:r>
        <w:rPr>
          <w:rFonts w:ascii="Times New Roman" w:hAnsi="Times New Roman"/>
          <w:sz w:val="24"/>
          <w:szCs w:val="24"/>
          <w:lang w:val="en-US"/>
        </w:rPr>
        <w:br w:type="page"/>
      </w:r>
    </w:p>
    <w:p w:rsidR="004C1DA7" w:rsidRDefault="004C1DA7" w:rsidP="00DA5EEA">
      <w:pPr>
        <w:spacing w:after="0" w:line="360" w:lineRule="auto"/>
        <w:jc w:val="both"/>
        <w:rPr>
          <w:rFonts w:ascii="Times New Roman" w:hAnsi="Times New Roman"/>
          <w:b/>
          <w:sz w:val="24"/>
          <w:szCs w:val="24"/>
          <w:lang w:val="en-US"/>
        </w:rPr>
      </w:pPr>
      <w:r w:rsidRPr="005B07F3">
        <w:rPr>
          <w:rFonts w:ascii="Times New Roman" w:hAnsi="Times New Roman"/>
          <w:b/>
          <w:sz w:val="24"/>
          <w:szCs w:val="24"/>
          <w:highlight w:val="yellow"/>
          <w:lang w:val="en-US"/>
        </w:rPr>
        <w:t>Fig. S3</w:t>
      </w:r>
    </w:p>
    <w:p w:rsidR="004C1DA7" w:rsidRPr="0026599B" w:rsidRDefault="004C1DA7" w:rsidP="00DA5EEA">
      <w:pPr>
        <w:spacing w:after="0" w:line="360" w:lineRule="auto"/>
        <w:jc w:val="both"/>
        <w:rPr>
          <w:rFonts w:ascii="Times New Roman" w:hAnsi="Times New Roman"/>
          <w:b/>
          <w:sz w:val="24"/>
          <w:szCs w:val="24"/>
          <w:lang w:val="en-US"/>
        </w:rPr>
      </w:pPr>
    </w:p>
    <w:p w:rsidR="004C1DA7" w:rsidRDefault="004C1DA7" w:rsidP="00DA5EEA">
      <w:pPr>
        <w:spacing w:after="0" w:line="360" w:lineRule="auto"/>
        <w:jc w:val="both"/>
        <w:rPr>
          <w:rFonts w:ascii="Times New Roman" w:hAnsi="Times New Roman"/>
          <w:sz w:val="24"/>
          <w:szCs w:val="24"/>
          <w:lang w:val="en-US"/>
        </w:rPr>
      </w:pPr>
      <w:r w:rsidRPr="001C0EE0">
        <w:rPr>
          <w:rFonts w:ascii="Times New Roman" w:hAnsi="Times New Roman"/>
          <w:noProof/>
          <w:sz w:val="24"/>
          <w:szCs w:val="24"/>
          <w:lang w:val="en-US"/>
        </w:rPr>
        <w:pict>
          <v:shape id="Kép 3" o:spid="_x0000_i1027" type="#_x0000_t75" style="width:453.75pt;height:323.25pt;visibility:visible">
            <v:imagedata r:id="rId7" o:title=""/>
          </v:shape>
        </w:pict>
      </w:r>
    </w:p>
    <w:p w:rsidR="004C1DA7" w:rsidRDefault="004C1DA7" w:rsidP="00DA5EEA">
      <w:pPr>
        <w:spacing w:after="0" w:line="360" w:lineRule="auto"/>
        <w:jc w:val="both"/>
        <w:rPr>
          <w:rFonts w:ascii="Times New Roman" w:hAnsi="Times New Roman"/>
          <w:sz w:val="24"/>
          <w:szCs w:val="24"/>
          <w:lang w:val="en-US"/>
        </w:rPr>
      </w:pPr>
    </w:p>
    <w:p w:rsidR="004C1DA7" w:rsidRPr="004A776B" w:rsidRDefault="004C1DA7" w:rsidP="005B07F3">
      <w:pPr>
        <w:spacing w:after="0" w:line="360" w:lineRule="auto"/>
        <w:jc w:val="both"/>
        <w:rPr>
          <w:rFonts w:ascii="Times New Roman" w:hAnsi="Times New Roman"/>
          <w:sz w:val="24"/>
          <w:szCs w:val="24"/>
          <w:highlight w:val="yellow"/>
          <w:lang w:val="en-US"/>
        </w:rPr>
      </w:pPr>
    </w:p>
    <w:p w:rsidR="004C1DA7" w:rsidRPr="004A776B" w:rsidRDefault="004C1DA7" w:rsidP="005B07F3">
      <w:pPr>
        <w:autoSpaceDE w:val="0"/>
        <w:autoSpaceDN w:val="0"/>
        <w:adjustRightInd w:val="0"/>
        <w:spacing w:after="0" w:line="360" w:lineRule="auto"/>
        <w:jc w:val="both"/>
        <w:rPr>
          <w:rFonts w:ascii="Times New Roman" w:hAnsi="Times New Roman"/>
          <w:sz w:val="24"/>
          <w:szCs w:val="24"/>
          <w:highlight w:val="yellow"/>
          <w:lang w:val="en-US"/>
        </w:rPr>
      </w:pPr>
      <w:r w:rsidRPr="004A776B">
        <w:rPr>
          <w:rFonts w:ascii="Times New Roman" w:hAnsi="Times New Roman"/>
          <w:b/>
          <w:sz w:val="24"/>
          <w:szCs w:val="24"/>
          <w:highlight w:val="yellow"/>
          <w:lang w:val="en-US"/>
        </w:rPr>
        <w:t>Fig. S3</w:t>
      </w:r>
      <w:r w:rsidRPr="004A776B">
        <w:rPr>
          <w:rFonts w:ascii="Times New Roman" w:hAnsi="Times New Roman"/>
          <w:sz w:val="24"/>
          <w:szCs w:val="24"/>
          <w:highlight w:val="yellow"/>
          <w:lang w:val="en-US"/>
        </w:rPr>
        <w:t xml:space="preserve"> Establishment of the device in a laboratory environment is shown. On our working stage the laminar box, the incubator and the phase contrast microscope were very close to each other (Fig. S3A). Arrangement of the peristaltic pump, the incubator, the reservoir and the biochips (Fig. S3B,C). Microscopic observation and resistance measurement (Fig. S3D).</w:t>
      </w:r>
    </w:p>
    <w:p w:rsidR="004C1DA7" w:rsidRDefault="004C1DA7">
      <w:pPr>
        <w:rPr>
          <w:rFonts w:ascii="Times New Roman" w:hAnsi="Times New Roman"/>
          <w:sz w:val="24"/>
          <w:szCs w:val="24"/>
          <w:highlight w:val="yellow"/>
          <w:lang w:val="en-US"/>
        </w:rPr>
      </w:pPr>
      <w:r>
        <w:rPr>
          <w:rFonts w:ascii="Times New Roman" w:hAnsi="Times New Roman"/>
          <w:sz w:val="24"/>
          <w:szCs w:val="24"/>
          <w:highlight w:val="yellow"/>
          <w:lang w:val="en-US"/>
        </w:rPr>
        <w:br w:type="page"/>
      </w:r>
    </w:p>
    <w:p w:rsidR="004C1DA7" w:rsidRPr="0026599B" w:rsidRDefault="004C1DA7" w:rsidP="00DA5EEA">
      <w:pPr>
        <w:spacing w:after="0" w:line="360" w:lineRule="auto"/>
        <w:jc w:val="both"/>
        <w:rPr>
          <w:rFonts w:ascii="Times New Roman" w:hAnsi="Times New Roman"/>
          <w:b/>
          <w:sz w:val="24"/>
          <w:szCs w:val="24"/>
          <w:lang w:val="en-US"/>
        </w:rPr>
      </w:pPr>
      <w:r w:rsidRPr="005B07F3">
        <w:rPr>
          <w:rFonts w:ascii="Times New Roman" w:hAnsi="Times New Roman"/>
          <w:b/>
          <w:sz w:val="24"/>
          <w:szCs w:val="24"/>
          <w:highlight w:val="yellow"/>
          <w:lang w:val="en-US"/>
        </w:rPr>
        <w:t>Fig. S4</w:t>
      </w:r>
    </w:p>
    <w:p w:rsidR="004C1DA7" w:rsidRDefault="004C1DA7" w:rsidP="00DA5EEA">
      <w:pPr>
        <w:spacing w:after="0" w:line="360" w:lineRule="auto"/>
        <w:jc w:val="both"/>
        <w:rPr>
          <w:rFonts w:ascii="Times New Roman" w:hAnsi="Times New Roman"/>
          <w:sz w:val="24"/>
          <w:szCs w:val="24"/>
          <w:lang w:val="en-US"/>
        </w:rPr>
      </w:pPr>
      <w:bookmarkStart w:id="0" w:name="_GoBack"/>
      <w:r w:rsidRPr="001C0EE0">
        <w:rPr>
          <w:rFonts w:ascii="Times New Roman" w:hAnsi="Times New Roman"/>
          <w:noProof/>
          <w:sz w:val="24"/>
          <w:szCs w:val="24"/>
          <w:lang w:val="en-US"/>
        </w:rPr>
        <w:pict>
          <v:shape id="Kép 2" o:spid="_x0000_i1028" type="#_x0000_t75" style="width:338.25pt;height:249.75pt;visibility:visible">
            <v:imagedata r:id="rId8" o:title=""/>
          </v:shape>
        </w:pict>
      </w:r>
      <w:bookmarkEnd w:id="0"/>
    </w:p>
    <w:p w:rsidR="004C1DA7" w:rsidRDefault="004C1DA7" w:rsidP="00DA5EEA">
      <w:pPr>
        <w:spacing w:after="0" w:line="360" w:lineRule="auto"/>
        <w:jc w:val="both"/>
        <w:rPr>
          <w:rFonts w:ascii="Times New Roman" w:hAnsi="Times New Roman"/>
          <w:sz w:val="24"/>
          <w:szCs w:val="24"/>
          <w:lang w:val="en-US"/>
        </w:rPr>
      </w:pPr>
    </w:p>
    <w:p w:rsidR="004C1DA7" w:rsidRDefault="004C1DA7" w:rsidP="005B07F3">
      <w:pPr>
        <w:spacing w:after="0" w:line="360" w:lineRule="auto"/>
        <w:jc w:val="both"/>
        <w:rPr>
          <w:rFonts w:ascii="Times New Roman" w:hAnsi="Times New Roman"/>
          <w:sz w:val="24"/>
          <w:szCs w:val="24"/>
          <w:lang w:val="en-US"/>
        </w:rPr>
      </w:pPr>
      <w:r w:rsidRPr="004A776B">
        <w:rPr>
          <w:rFonts w:ascii="Times New Roman" w:hAnsi="Times New Roman"/>
          <w:b/>
          <w:sz w:val="24"/>
          <w:szCs w:val="24"/>
          <w:highlight w:val="yellow"/>
          <w:lang w:val="en-US"/>
        </w:rPr>
        <w:t>Fig. S4</w:t>
      </w:r>
      <w:r w:rsidRPr="004A776B">
        <w:rPr>
          <w:rFonts w:ascii="Times New Roman" w:hAnsi="Times New Roman"/>
          <w:sz w:val="24"/>
          <w:szCs w:val="24"/>
          <w:highlight w:val="yellow"/>
          <w:lang w:val="en-US"/>
        </w:rPr>
        <w:t xml:space="preserve"> Transmission spectra of the ITO and gold electrodes recorded by a spectrophotometer from 400 to 700 nm.</w:t>
      </w:r>
    </w:p>
    <w:p w:rsidR="004C1DA7" w:rsidRDefault="004C1DA7" w:rsidP="00DA5EEA">
      <w:pPr>
        <w:spacing w:after="0" w:line="360" w:lineRule="auto"/>
        <w:jc w:val="both"/>
        <w:rPr>
          <w:rFonts w:ascii="Times New Roman" w:hAnsi="Times New Roman"/>
          <w:sz w:val="24"/>
          <w:szCs w:val="24"/>
          <w:lang w:val="en-US"/>
        </w:rPr>
      </w:pPr>
    </w:p>
    <w:sectPr w:rsidR="004C1DA7" w:rsidSect="00D70D8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8B652B"/>
    <w:multiLevelType w:val="hybridMultilevel"/>
    <w:tmpl w:val="773224A4"/>
    <w:lvl w:ilvl="0" w:tplc="040E0015">
      <w:start w:val="1"/>
      <w:numFmt w:val="upp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7EF6"/>
    <w:rsid w:val="000F4693"/>
    <w:rsid w:val="00163221"/>
    <w:rsid w:val="001C0EE0"/>
    <w:rsid w:val="0020371E"/>
    <w:rsid w:val="00206DC0"/>
    <w:rsid w:val="0026599B"/>
    <w:rsid w:val="002B1A4B"/>
    <w:rsid w:val="003800BE"/>
    <w:rsid w:val="00415131"/>
    <w:rsid w:val="004A776B"/>
    <w:rsid w:val="004C1DA7"/>
    <w:rsid w:val="00517EF6"/>
    <w:rsid w:val="00542E32"/>
    <w:rsid w:val="00583E14"/>
    <w:rsid w:val="005B07F3"/>
    <w:rsid w:val="00706207"/>
    <w:rsid w:val="00721A3A"/>
    <w:rsid w:val="00735976"/>
    <w:rsid w:val="00756F84"/>
    <w:rsid w:val="00763BD5"/>
    <w:rsid w:val="007C0543"/>
    <w:rsid w:val="008069A8"/>
    <w:rsid w:val="00842511"/>
    <w:rsid w:val="008550C4"/>
    <w:rsid w:val="009661E0"/>
    <w:rsid w:val="009B4E3C"/>
    <w:rsid w:val="00A7566B"/>
    <w:rsid w:val="00B218AD"/>
    <w:rsid w:val="00B73188"/>
    <w:rsid w:val="00CF0108"/>
    <w:rsid w:val="00D24724"/>
    <w:rsid w:val="00D70D81"/>
    <w:rsid w:val="00DA2CBB"/>
    <w:rsid w:val="00DA5EEA"/>
    <w:rsid w:val="00E108FF"/>
    <w:rsid w:val="00E31AF7"/>
    <w:rsid w:val="00E37ED4"/>
    <w:rsid w:val="00EA2384"/>
    <w:rsid w:val="00EE5423"/>
    <w:rsid w:val="00FA4CEF"/>
    <w:rsid w:val="00FB603D"/>
    <w:rsid w:val="00FC58D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D81"/>
    <w:pPr>
      <w:spacing w:after="200" w:line="276" w:lineRule="auto"/>
    </w:pPr>
    <w:rPr>
      <w:lang w:val="hu-H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108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08FF"/>
    <w:rPr>
      <w:rFonts w:ascii="Tahoma" w:hAnsi="Tahoma" w:cs="Tahoma"/>
      <w:sz w:val="16"/>
      <w:szCs w:val="16"/>
    </w:rPr>
  </w:style>
  <w:style w:type="paragraph" w:styleId="HTMLPreformatted">
    <w:name w:val="HTML Preformatted"/>
    <w:basedOn w:val="Normal"/>
    <w:link w:val="HTMLPreformattedChar"/>
    <w:uiPriority w:val="99"/>
    <w:rsid w:val="00E10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PreformattedChar">
    <w:name w:val="HTML Preformatted Char"/>
    <w:basedOn w:val="DefaultParagraphFont"/>
    <w:link w:val="HTMLPreformatted"/>
    <w:uiPriority w:val="99"/>
    <w:locked/>
    <w:rsid w:val="00E108FF"/>
    <w:rPr>
      <w:rFonts w:ascii="Courier New" w:hAnsi="Courier New" w:cs="Courier New"/>
      <w:sz w:val="20"/>
      <w:szCs w:val="20"/>
      <w:lang w:eastAsia="hu-HU"/>
    </w:rPr>
  </w:style>
</w:styles>
</file>

<file path=word/webSettings.xml><?xml version="1.0" encoding="utf-8"?>
<w:webSettings xmlns:r="http://schemas.openxmlformats.org/officeDocument/2006/relationships" xmlns:w="http://schemas.openxmlformats.org/wordprocessingml/2006/main">
  <w:divs>
    <w:div w:id="568003864">
      <w:marLeft w:val="0"/>
      <w:marRight w:val="0"/>
      <w:marTop w:val="0"/>
      <w:marBottom w:val="0"/>
      <w:divBdr>
        <w:top w:val="none" w:sz="0" w:space="0" w:color="auto"/>
        <w:left w:val="none" w:sz="0" w:space="0" w:color="auto"/>
        <w:bottom w:val="none" w:sz="0" w:space="0" w:color="auto"/>
        <w:right w:val="none" w:sz="0" w:space="0" w:color="auto"/>
      </w:divBdr>
    </w:div>
    <w:div w:id="5680038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7</Pages>
  <Words>601</Words>
  <Characters>4152</Characters>
  <Application>Microsoft Office Outlook</Application>
  <DocSecurity>0</DocSecurity>
  <Lines>0</Lines>
  <Paragraphs>0</Paragraphs>
  <ScaleCrop>false</ScaleCrop>
  <Company>PRA International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Sensors and Actuators B: Chemical</dc:title>
  <dc:subject/>
  <dc:creator>Birsalma</dc:creator>
  <cp:keywords/>
  <dc:description/>
  <cp:lastModifiedBy>Sz</cp:lastModifiedBy>
  <cp:revision>2</cp:revision>
  <cp:lastPrinted>2015-06-27T08:09:00Z</cp:lastPrinted>
  <dcterms:created xsi:type="dcterms:W3CDTF">2015-06-27T21:02:00Z</dcterms:created>
  <dcterms:modified xsi:type="dcterms:W3CDTF">2015-06-27T21:02:00Z</dcterms:modified>
</cp:coreProperties>
</file>